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54"/>
        <w:ind w:left="231"/>
        <w:rPr>
          <w:rFonts w:hint="eastAsia" w:ascii="黑体" w:eastAsia="黑体"/>
        </w:rPr>
      </w:pPr>
      <w:r>
        <w:rPr>
          <w:rFonts w:hint="eastAsia" w:ascii="黑体" w:eastAsia="黑体"/>
          <w:spacing w:val="-27"/>
        </w:rPr>
        <w:t xml:space="preserve">附件 </w:t>
      </w:r>
      <w:r>
        <w:rPr>
          <w:rFonts w:hint="eastAsia" w:ascii="黑体" w:eastAsia="黑体"/>
        </w:rPr>
        <w:t>1</w:t>
      </w:r>
    </w:p>
    <w:p>
      <w:pPr>
        <w:pStyle w:val="2"/>
        <w:ind w:left="231"/>
        <w:jc w:val="center"/>
      </w:pPr>
      <w:bookmarkStart w:id="0" w:name="_GoBack"/>
      <w:r>
        <w:t>国家奖助学金“具体评审条件”一览表</w:t>
      </w:r>
    </w:p>
    <w:bookmarkEnd w:id="0"/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4530"/>
        <w:gridCol w:w="2187"/>
        <w:gridCol w:w="2873"/>
        <w:gridCol w:w="3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113" w:type="dxa"/>
          </w:tcPr>
          <w:p>
            <w:pPr>
              <w:pStyle w:val="6"/>
              <w:spacing w:before="145"/>
              <w:ind w:left="136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项目名称</w:t>
            </w:r>
          </w:p>
        </w:tc>
        <w:tc>
          <w:tcPr>
            <w:tcW w:w="4530" w:type="dxa"/>
          </w:tcPr>
          <w:p>
            <w:pPr>
              <w:pStyle w:val="6"/>
              <w:spacing w:before="145"/>
              <w:ind w:left="1822" w:right="1817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学习年限</w:t>
            </w:r>
          </w:p>
        </w:tc>
        <w:tc>
          <w:tcPr>
            <w:tcW w:w="2187" w:type="dxa"/>
          </w:tcPr>
          <w:p>
            <w:pPr>
              <w:pStyle w:val="6"/>
              <w:spacing w:before="145"/>
              <w:ind w:left="652" w:right="644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学习成绩</w:t>
            </w:r>
          </w:p>
        </w:tc>
        <w:tc>
          <w:tcPr>
            <w:tcW w:w="2873" w:type="dxa"/>
          </w:tcPr>
          <w:p>
            <w:pPr>
              <w:pStyle w:val="6"/>
              <w:spacing w:before="145"/>
              <w:ind w:left="995" w:right="988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破格条件</w:t>
            </w:r>
          </w:p>
        </w:tc>
        <w:tc>
          <w:tcPr>
            <w:tcW w:w="3291" w:type="dxa"/>
          </w:tcPr>
          <w:p>
            <w:pPr>
              <w:pStyle w:val="6"/>
              <w:spacing w:before="145"/>
              <w:ind w:left="1412" w:right="1408"/>
              <w:jc w:val="center"/>
              <w:rPr>
                <w:rFonts w:hint="eastAsia" w:ascii="黑体" w:eastAsia="黑体"/>
                <w:sz w:val="21"/>
              </w:rPr>
            </w:pPr>
            <w:r>
              <w:rPr>
                <w:rFonts w:hint="eastAsia" w:ascii="黑体" w:eastAsia="黑体"/>
                <w:sz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9" w:hRule="atLeast"/>
          <w:jc w:val="center"/>
        </w:trPr>
        <w:tc>
          <w:tcPr>
            <w:tcW w:w="1113" w:type="dxa"/>
          </w:tcPr>
          <w:p>
            <w:pPr>
              <w:pStyle w:val="6"/>
              <w:rPr>
                <w:rFonts w:ascii="方正小标宋简体"/>
                <w:sz w:val="20"/>
              </w:rPr>
            </w:pPr>
          </w:p>
          <w:p>
            <w:pPr>
              <w:pStyle w:val="6"/>
              <w:spacing w:before="6"/>
              <w:rPr>
                <w:rFonts w:ascii="方正小标宋简体"/>
                <w:sz w:val="18"/>
              </w:rPr>
            </w:pPr>
          </w:p>
          <w:p>
            <w:pPr>
              <w:pStyle w:val="6"/>
              <w:spacing w:before="1" w:line="242" w:lineRule="auto"/>
              <w:ind w:left="136" w:right="126"/>
              <w:jc w:val="center"/>
              <w:rPr>
                <w:sz w:val="21"/>
              </w:rPr>
            </w:pPr>
            <w:r>
              <w:rPr>
                <w:sz w:val="21"/>
              </w:rPr>
              <w:t>本专科生国家奖学金</w:t>
            </w:r>
          </w:p>
        </w:tc>
        <w:tc>
          <w:tcPr>
            <w:tcW w:w="4530" w:type="dxa"/>
          </w:tcPr>
          <w:p>
            <w:pPr>
              <w:pStyle w:val="6"/>
              <w:spacing w:before="134" w:line="242" w:lineRule="auto"/>
              <w:ind w:left="108" w:right="94"/>
              <w:jc w:val="both"/>
              <w:rPr>
                <w:sz w:val="21"/>
              </w:rPr>
            </w:pPr>
            <w:r>
              <w:rPr>
                <w:spacing w:val="-6"/>
                <w:sz w:val="21"/>
              </w:rPr>
              <w:t>本专科二年级</w:t>
            </w:r>
            <w:r>
              <w:rPr>
                <w:sz w:val="21"/>
              </w:rPr>
              <w:t>（含二年级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6"/>
                <w:sz w:val="21"/>
              </w:rPr>
              <w:t>以上 专升本学生进</w:t>
            </w:r>
            <w:r>
              <w:rPr>
                <w:spacing w:val="-3"/>
                <w:sz w:val="21"/>
              </w:rPr>
              <w:t xml:space="preserve">入本科阶段第 </w:t>
            </w:r>
            <w:r>
              <w:rPr>
                <w:rFonts w:ascii="Times New Roman" w:eastAsia="Times New Roman"/>
                <w:sz w:val="21"/>
              </w:rPr>
              <w:t xml:space="preserve">2 </w:t>
            </w:r>
            <w:r>
              <w:rPr>
                <w:spacing w:val="-32"/>
                <w:sz w:val="21"/>
              </w:rPr>
              <w:t>年</w:t>
            </w:r>
            <w:r>
              <w:rPr>
                <w:sz w:val="21"/>
              </w:rPr>
              <w:t>（</w:t>
            </w:r>
            <w:r>
              <w:rPr>
                <w:spacing w:val="-18"/>
                <w:sz w:val="21"/>
              </w:rPr>
              <w:t xml:space="preserve">含第 </w:t>
            </w:r>
            <w:r>
              <w:rPr>
                <w:rFonts w:ascii="Times New Roman" w:eastAsia="Times New Roman"/>
                <w:sz w:val="21"/>
              </w:rPr>
              <w:t xml:space="preserve">2 </w:t>
            </w:r>
            <w:r>
              <w:rPr>
                <w:sz w:val="21"/>
              </w:rPr>
              <w:t>年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8"/>
                <w:sz w:val="21"/>
              </w:rPr>
              <w:t>以上 五年一贯</w:t>
            </w:r>
            <w:r>
              <w:rPr>
                <w:spacing w:val="-6"/>
                <w:sz w:val="21"/>
              </w:rPr>
              <w:t>制高职</w:t>
            </w:r>
            <w:r>
              <w:rPr>
                <w:sz w:val="21"/>
              </w:rPr>
              <w:t>（中职高职连读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9"/>
                <w:sz w:val="21"/>
              </w:rPr>
              <w:t xml:space="preserve">学生入学第 </w:t>
            </w:r>
            <w:r>
              <w:rPr>
                <w:rFonts w:ascii="Times New Roman" w:eastAsia="Times New Roman"/>
                <w:sz w:val="21"/>
              </w:rPr>
              <w:t xml:space="preserve">5 </w:t>
            </w:r>
            <w:r>
              <w:rPr>
                <w:spacing w:val="16"/>
                <w:sz w:val="21"/>
              </w:rPr>
              <w:t>年 本硕连读或本硕博连读的特殊学制学生 根据当年所</w:t>
            </w:r>
            <w:r>
              <w:rPr>
                <w:spacing w:val="5"/>
                <w:w w:val="95"/>
                <w:sz w:val="21"/>
              </w:rPr>
              <w:t xml:space="preserve">修课程层次确定参与相应学段的国家奖学金评 </w:t>
            </w:r>
            <w:r>
              <w:rPr>
                <w:spacing w:val="-2"/>
                <w:sz w:val="21"/>
              </w:rPr>
              <w:t xml:space="preserve">定 原则上从入学第 </w:t>
            </w:r>
            <w:r>
              <w:rPr>
                <w:rFonts w:ascii="Times New Roman" w:eastAsia="Times New Roman"/>
                <w:sz w:val="21"/>
              </w:rPr>
              <w:t xml:space="preserve">6 </w:t>
            </w:r>
            <w:r>
              <w:rPr>
                <w:spacing w:val="-17"/>
                <w:sz w:val="21"/>
              </w:rPr>
              <w:t>年开始</w:t>
            </w:r>
            <w:r>
              <w:rPr>
                <w:sz w:val="21"/>
              </w:rPr>
              <w:t>（即不在本科学习阶段）不再具备申请资格</w:t>
            </w:r>
          </w:p>
        </w:tc>
        <w:tc>
          <w:tcPr>
            <w:tcW w:w="2187" w:type="dxa"/>
          </w:tcPr>
          <w:p>
            <w:pPr>
              <w:pStyle w:val="6"/>
              <w:spacing w:before="1"/>
              <w:rPr>
                <w:rFonts w:ascii="方正小标宋简体"/>
                <w:sz w:val="23"/>
              </w:rPr>
            </w:pPr>
          </w:p>
          <w:p>
            <w:pPr>
              <w:pStyle w:val="6"/>
              <w:spacing w:line="242" w:lineRule="auto"/>
              <w:ind w:left="107" w:right="97"/>
              <w:jc w:val="both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 xml:space="preserve">学习成绩排名与综合考评成绩排名在评选范围内均位于前 </w:t>
            </w:r>
            <w:r>
              <w:rPr>
                <w:rFonts w:ascii="Times New Roman" w:eastAsia="Times New Roman"/>
                <w:sz w:val="21"/>
              </w:rPr>
              <w:t>10%</w:t>
            </w:r>
          </w:p>
          <w:p>
            <w:pPr>
              <w:pStyle w:val="6"/>
              <w:spacing w:before="1" w:line="242" w:lineRule="auto"/>
              <w:ind w:left="107" w:right="97"/>
              <w:rPr>
                <w:sz w:val="21"/>
              </w:rPr>
            </w:pPr>
            <w:r>
              <w:rPr>
                <w:sz w:val="21"/>
              </w:rPr>
              <w:t>（含），且没有不及格科目</w:t>
            </w:r>
          </w:p>
        </w:tc>
        <w:tc>
          <w:tcPr>
            <w:tcW w:w="2873" w:type="dxa"/>
          </w:tcPr>
          <w:p>
            <w:pPr>
              <w:pStyle w:val="6"/>
              <w:spacing w:line="242" w:lineRule="auto"/>
              <w:ind w:left="106" w:right="46"/>
              <w:rPr>
                <w:sz w:val="21"/>
              </w:rPr>
            </w:pPr>
            <w:r>
              <w:rPr>
                <w:w w:val="95"/>
                <w:sz w:val="21"/>
              </w:rPr>
              <w:t>学习成绩排名或综合考评成</w:t>
            </w:r>
            <w:r>
              <w:rPr>
                <w:sz w:val="21"/>
              </w:rPr>
              <w:t xml:space="preserve">绩排名没有进入前 </w:t>
            </w:r>
            <w:r>
              <w:rPr>
                <w:rFonts w:ascii="Times New Roman" w:eastAsia="Times New Roman"/>
                <w:sz w:val="21"/>
              </w:rPr>
              <w:t xml:space="preserve">10% </w:t>
            </w:r>
            <w:r>
              <w:rPr>
                <w:sz w:val="21"/>
              </w:rPr>
              <w:t xml:space="preserve">但均位于前 </w:t>
            </w:r>
            <w:r>
              <w:rPr>
                <w:rFonts w:ascii="Times New Roman" w:eastAsia="Times New Roman"/>
                <w:sz w:val="21"/>
              </w:rPr>
              <w:t>30%</w:t>
            </w:r>
            <w:r>
              <w:rPr>
                <w:sz w:val="21"/>
              </w:rPr>
              <w:t>（含）的学生 参评学年必须在道德风尚 学术研究、学科竞赛、创新发明社会实践 社会工作 体育竞赛 艺术展演等某一方面表现</w:t>
            </w:r>
          </w:p>
          <w:p>
            <w:pPr>
              <w:pStyle w:val="6"/>
              <w:spacing w:before="3" w:line="253" w:lineRule="exact"/>
              <w:ind w:left="106"/>
              <w:rPr>
                <w:sz w:val="21"/>
              </w:rPr>
            </w:pPr>
            <w:r>
              <w:rPr>
                <w:sz w:val="21"/>
              </w:rPr>
              <w:t>非常突出</w:t>
            </w:r>
          </w:p>
        </w:tc>
        <w:tc>
          <w:tcPr>
            <w:tcW w:w="3291" w:type="dxa"/>
          </w:tcPr>
          <w:p>
            <w:pPr>
              <w:pStyle w:val="6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7" w:hRule="atLeast"/>
          <w:jc w:val="center"/>
        </w:trPr>
        <w:tc>
          <w:tcPr>
            <w:tcW w:w="1113" w:type="dxa"/>
          </w:tcPr>
          <w:p>
            <w:pPr>
              <w:pStyle w:val="6"/>
              <w:rPr>
                <w:rFonts w:ascii="方正小标宋简体"/>
                <w:sz w:val="20"/>
              </w:rPr>
            </w:pPr>
          </w:p>
          <w:p>
            <w:pPr>
              <w:pStyle w:val="6"/>
              <w:spacing w:before="16"/>
              <w:rPr>
                <w:rFonts w:ascii="方正小标宋简体"/>
                <w:sz w:val="29"/>
              </w:rPr>
            </w:pPr>
          </w:p>
          <w:p>
            <w:pPr>
              <w:pStyle w:val="6"/>
              <w:spacing w:line="242" w:lineRule="auto"/>
              <w:ind w:left="136" w:right="126"/>
              <w:jc w:val="both"/>
              <w:rPr>
                <w:sz w:val="21"/>
              </w:rPr>
            </w:pPr>
            <w:r>
              <w:rPr>
                <w:sz w:val="21"/>
              </w:rPr>
              <w:t>本专科生国家励志奖学金</w:t>
            </w:r>
          </w:p>
        </w:tc>
        <w:tc>
          <w:tcPr>
            <w:tcW w:w="4530" w:type="dxa"/>
          </w:tcPr>
          <w:p>
            <w:pPr>
              <w:pStyle w:val="6"/>
              <w:rPr>
                <w:rFonts w:ascii="方正小标宋简体"/>
                <w:sz w:val="20"/>
              </w:rPr>
            </w:pPr>
          </w:p>
          <w:p>
            <w:pPr>
              <w:pStyle w:val="6"/>
              <w:rPr>
                <w:rFonts w:ascii="方正小标宋简体"/>
                <w:sz w:val="20"/>
              </w:rPr>
            </w:pPr>
          </w:p>
          <w:p>
            <w:pPr>
              <w:pStyle w:val="6"/>
              <w:spacing w:before="6"/>
              <w:rPr>
                <w:rFonts w:ascii="方正小标宋简体"/>
                <w:sz w:val="25"/>
              </w:rPr>
            </w:pPr>
          </w:p>
          <w:p>
            <w:pPr>
              <w:pStyle w:val="6"/>
              <w:ind w:left="108"/>
              <w:rPr>
                <w:sz w:val="21"/>
              </w:rPr>
            </w:pPr>
            <w:r>
              <w:rPr>
                <w:sz w:val="21"/>
              </w:rPr>
              <w:t>与本专科国家学金“学习年限”要求一致</w:t>
            </w:r>
          </w:p>
        </w:tc>
        <w:tc>
          <w:tcPr>
            <w:tcW w:w="2187" w:type="dxa"/>
          </w:tcPr>
          <w:p>
            <w:pPr>
              <w:pStyle w:val="6"/>
              <w:rPr>
                <w:rFonts w:ascii="方正小标宋简体"/>
                <w:sz w:val="22"/>
              </w:rPr>
            </w:pPr>
          </w:p>
          <w:p>
            <w:pPr>
              <w:pStyle w:val="6"/>
              <w:spacing w:before="3"/>
              <w:rPr>
                <w:rFonts w:ascii="方正小标宋简体"/>
                <w:sz w:val="20"/>
              </w:rPr>
            </w:pPr>
          </w:p>
          <w:p>
            <w:pPr>
              <w:pStyle w:val="6"/>
              <w:spacing w:line="242" w:lineRule="auto"/>
              <w:ind w:left="107" w:right="97"/>
              <w:jc w:val="both"/>
              <w:rPr>
                <w:sz w:val="21"/>
              </w:rPr>
            </w:pPr>
            <w:r>
              <w:rPr>
                <w:sz w:val="21"/>
              </w:rPr>
              <w:t xml:space="preserve">学习成绩排名与综合考评成绩排名，原则上应在评选范围内位于前 </w:t>
            </w:r>
            <w:r>
              <w:rPr>
                <w:rFonts w:ascii="Times New Roman" w:eastAsia="Times New Roman"/>
                <w:sz w:val="21"/>
              </w:rPr>
              <w:t>10%</w:t>
            </w:r>
            <w:r>
              <w:rPr>
                <w:sz w:val="21"/>
              </w:rPr>
              <w:t>（含）</w:t>
            </w:r>
          </w:p>
        </w:tc>
        <w:tc>
          <w:tcPr>
            <w:tcW w:w="2873" w:type="dxa"/>
          </w:tcPr>
          <w:p>
            <w:pPr>
              <w:pStyle w:val="6"/>
              <w:spacing w:before="9"/>
              <w:rPr>
                <w:rFonts w:ascii="方正小标宋简体"/>
                <w:sz w:val="11"/>
              </w:rPr>
            </w:pPr>
          </w:p>
          <w:p>
            <w:pPr>
              <w:pStyle w:val="6"/>
              <w:spacing w:line="242" w:lineRule="auto"/>
              <w:ind w:left="106" w:right="25"/>
              <w:rPr>
                <w:sz w:val="21"/>
              </w:rPr>
            </w:pPr>
            <w:r>
              <w:rPr>
                <w:spacing w:val="10"/>
                <w:sz w:val="21"/>
              </w:rPr>
              <w:t>学习成绩排名或综合考评成</w:t>
            </w:r>
            <w:r>
              <w:rPr>
                <w:sz w:val="21"/>
              </w:rPr>
              <w:t xml:space="preserve">绩排名超出前 </w:t>
            </w:r>
            <w:r>
              <w:rPr>
                <w:rFonts w:ascii="Times New Roman" w:hAnsi="Times New Roman" w:eastAsia="Times New Roman"/>
                <w:sz w:val="21"/>
              </w:rPr>
              <w:t>10</w:t>
            </w:r>
            <w:r>
              <w:rPr>
                <w:rFonts w:ascii="Times New Roman" w:hAnsi="Times New Roman" w:eastAsia="Times New Roman"/>
                <w:spacing w:val="7"/>
                <w:sz w:val="21"/>
              </w:rPr>
              <w:t xml:space="preserve">% </w:t>
            </w:r>
            <w:r>
              <w:rPr>
                <w:sz w:val="21"/>
              </w:rPr>
              <w:t>但均位于</w:t>
            </w:r>
            <w:r>
              <w:rPr>
                <w:spacing w:val="-26"/>
                <w:sz w:val="21"/>
              </w:rPr>
              <w:t xml:space="preserve">前 </w:t>
            </w:r>
            <w:r>
              <w:rPr>
                <w:rFonts w:ascii="Times New Roman" w:hAnsi="Times New Roman" w:eastAsia="Times New Roman"/>
                <w:spacing w:val="-8"/>
                <w:sz w:val="21"/>
              </w:rPr>
              <w:t>30%</w:t>
            </w:r>
            <w:r>
              <w:rPr>
                <w:spacing w:val="-8"/>
                <w:sz w:val="21"/>
              </w:rPr>
              <w:t>（</w:t>
            </w:r>
            <w:r>
              <w:rPr>
                <w:sz w:val="21"/>
              </w:rPr>
              <w:t>含</w:t>
            </w:r>
            <w:r>
              <w:rPr>
                <w:spacing w:val="-29"/>
                <w:sz w:val="21"/>
              </w:rPr>
              <w:t>）</w:t>
            </w:r>
            <w:r>
              <w:rPr>
                <w:spacing w:val="9"/>
                <w:sz w:val="21"/>
              </w:rPr>
              <w:t>的 必须在参评</w:t>
            </w:r>
            <w:r>
              <w:rPr>
                <w:spacing w:val="10"/>
                <w:sz w:val="21"/>
              </w:rPr>
              <w:t>学年</w:t>
            </w:r>
            <w:r>
              <w:rPr>
                <w:spacing w:val="3"/>
                <w:sz w:val="21"/>
              </w:rPr>
              <w:t>（</w:t>
            </w:r>
            <w:r>
              <w:rPr>
                <w:rFonts w:ascii="Times New Roman" w:hAnsi="Times New Roman" w:eastAsia="Times New Roman"/>
                <w:spacing w:val="3"/>
                <w:sz w:val="21"/>
              </w:rPr>
              <w:t>2024</w:t>
            </w:r>
            <w:r>
              <w:rPr>
                <w:spacing w:val="3"/>
                <w:sz w:val="21"/>
              </w:rPr>
              <w:t>—</w:t>
            </w:r>
            <w:r>
              <w:rPr>
                <w:rFonts w:ascii="Times New Roman" w:hAnsi="Times New Roman" w:eastAsia="Times New Roman"/>
                <w:spacing w:val="3"/>
                <w:sz w:val="21"/>
              </w:rPr>
              <w:t>2025</w:t>
            </w:r>
            <w:r>
              <w:rPr>
                <w:rFonts w:ascii="Times New Roman" w:hAnsi="Times New Roman" w:eastAsia="Times New Roman"/>
                <w:spacing w:val="5"/>
                <w:sz w:val="21"/>
              </w:rPr>
              <w:t xml:space="preserve"> </w:t>
            </w:r>
            <w:r>
              <w:rPr>
                <w:spacing w:val="10"/>
                <w:sz w:val="21"/>
              </w:rPr>
              <w:t>学年</w:t>
            </w:r>
            <w:r>
              <w:rPr>
                <w:spacing w:val="9"/>
                <w:sz w:val="21"/>
              </w:rPr>
              <w:t>）</w:t>
            </w:r>
            <w:r>
              <w:rPr>
                <w:sz w:val="21"/>
              </w:rPr>
              <w:t>获</w:t>
            </w:r>
            <w:r>
              <w:rPr>
                <w:spacing w:val="-27"/>
                <w:sz w:val="21"/>
              </w:rPr>
              <w:t xml:space="preserve">得 </w:t>
            </w:r>
            <w:r>
              <w:rPr>
                <w:rFonts w:ascii="Times New Roman" w:hAnsi="Times New Roman" w:eastAsia="Times New Roman"/>
                <w:sz w:val="21"/>
              </w:rPr>
              <w:t>1</w:t>
            </w:r>
            <w:r>
              <w:rPr>
                <w:rFonts w:ascii="Times New Roman" w:hAnsi="Times New Roman" w:eastAsia="Times New Roman"/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次及以上校级（含校级</w:t>
            </w:r>
            <w:r>
              <w:rPr>
                <w:spacing w:val="-13"/>
                <w:sz w:val="21"/>
              </w:rPr>
              <w:t xml:space="preserve">） </w:t>
            </w:r>
            <w:r>
              <w:rPr>
                <w:spacing w:val="2"/>
                <w:sz w:val="21"/>
              </w:rPr>
              <w:t>以上表彰奖励 “校级</w:t>
            </w:r>
            <w:r>
              <w:rPr>
                <w:sz w:val="21"/>
              </w:rPr>
              <w:t>（含校级）以上表彰奖励”的认定 由各高校自行确定</w:t>
            </w:r>
          </w:p>
        </w:tc>
        <w:tc>
          <w:tcPr>
            <w:tcW w:w="3291" w:type="dxa"/>
          </w:tcPr>
          <w:p>
            <w:pPr>
              <w:pStyle w:val="6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  <w:jc w:val="center"/>
        </w:trPr>
        <w:tc>
          <w:tcPr>
            <w:tcW w:w="1113" w:type="dxa"/>
          </w:tcPr>
          <w:p>
            <w:pPr>
              <w:pStyle w:val="6"/>
              <w:spacing w:before="1"/>
              <w:rPr>
                <w:rFonts w:ascii="方正小标宋简体"/>
                <w:sz w:val="20"/>
              </w:rPr>
            </w:pPr>
          </w:p>
          <w:p>
            <w:pPr>
              <w:pStyle w:val="6"/>
              <w:spacing w:line="242" w:lineRule="auto"/>
              <w:ind w:left="136" w:right="126"/>
              <w:rPr>
                <w:sz w:val="21"/>
              </w:rPr>
            </w:pPr>
            <w:r>
              <w:rPr>
                <w:sz w:val="21"/>
              </w:rPr>
              <w:t>本专科国家助学金</w:t>
            </w:r>
          </w:p>
        </w:tc>
        <w:tc>
          <w:tcPr>
            <w:tcW w:w="4530" w:type="dxa"/>
          </w:tcPr>
          <w:p>
            <w:pPr>
              <w:pStyle w:val="6"/>
              <w:spacing w:before="1"/>
              <w:rPr>
                <w:rFonts w:ascii="方正小标宋简体"/>
                <w:sz w:val="20"/>
              </w:rPr>
            </w:pPr>
          </w:p>
          <w:p>
            <w:pPr>
              <w:pStyle w:val="6"/>
              <w:spacing w:line="242" w:lineRule="auto"/>
              <w:ind w:left="108" w:right="99"/>
              <w:rPr>
                <w:sz w:val="21"/>
              </w:rPr>
            </w:pPr>
            <w:r>
              <w:rPr>
                <w:sz w:val="21"/>
              </w:rPr>
              <w:t>大一新生 在校生和预科生 超过基本修业年限的在校生不再具备申请条件</w:t>
            </w:r>
          </w:p>
        </w:tc>
        <w:tc>
          <w:tcPr>
            <w:tcW w:w="2187" w:type="dxa"/>
          </w:tcPr>
          <w:p>
            <w:pPr>
              <w:pStyle w:val="6"/>
              <w:spacing w:before="10"/>
              <w:rPr>
                <w:rFonts w:ascii="方正小标宋简体"/>
                <w:sz w:val="28"/>
              </w:rPr>
            </w:pPr>
          </w:p>
          <w:p>
            <w:pPr>
              <w:pStyle w:val="6"/>
              <w:ind w:left="649" w:right="644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——</w:t>
            </w:r>
          </w:p>
        </w:tc>
        <w:tc>
          <w:tcPr>
            <w:tcW w:w="2873" w:type="dxa"/>
          </w:tcPr>
          <w:p>
            <w:pPr>
              <w:pStyle w:val="6"/>
              <w:spacing w:before="10"/>
              <w:rPr>
                <w:rFonts w:ascii="方正小标宋简体"/>
                <w:sz w:val="28"/>
              </w:rPr>
            </w:pPr>
          </w:p>
          <w:p>
            <w:pPr>
              <w:pStyle w:val="6"/>
              <w:ind w:left="993" w:right="988"/>
              <w:jc w:val="center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  <w:t>——</w:t>
            </w:r>
          </w:p>
        </w:tc>
        <w:tc>
          <w:tcPr>
            <w:tcW w:w="3291" w:type="dxa"/>
          </w:tcPr>
          <w:p>
            <w:pPr>
              <w:pStyle w:val="6"/>
              <w:rPr>
                <w:rFonts w:ascii="Times New Roman"/>
                <w:sz w:val="2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C4450"/>
    <w:rsid w:val="637C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57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2025-10-09T09:25:00Z</dcterms:created>
  <dc:creator>70紛</dc:creator>
  <cp:lastModifiedBy>70紛</cp:lastModifiedBy>
  <dcterms:modified xsi:type="dcterms:W3CDTF">2025-10-09T09:34:14Z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